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F6942">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14:paraId="15D80E69">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14:paraId="0223E4FF">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中国工程科技发展战略甘肃研究院</w:t>
      </w:r>
    </w:p>
    <w:p w14:paraId="68CEF27E">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2025年</w:t>
      </w:r>
      <w:r>
        <w:rPr>
          <w:rFonts w:hint="eastAsia" w:ascii="方正小标宋简体" w:hAnsi="方正小标宋简体" w:eastAsia="方正小标宋简体" w:cs="方正小标宋简体"/>
          <w:color w:val="auto"/>
          <w:sz w:val="44"/>
          <w:szCs w:val="44"/>
          <w:highlight w:val="none"/>
          <w:lang w:val="en-US" w:eastAsia="zh-CN"/>
        </w:rPr>
        <w:t>度</w:t>
      </w:r>
      <w:r>
        <w:rPr>
          <w:rFonts w:hint="eastAsia" w:ascii="方正小标宋简体" w:hAnsi="方正小标宋简体" w:eastAsia="方正小标宋简体" w:cs="方正小标宋简体"/>
          <w:color w:val="auto"/>
          <w:sz w:val="44"/>
          <w:szCs w:val="44"/>
          <w:lang w:val="en-US" w:eastAsia="zh-CN"/>
        </w:rPr>
        <w:t>战略研究与咨询项目申报方向</w:t>
      </w:r>
    </w:p>
    <w:p w14:paraId="7DEF786B">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14:paraId="710B4C9F">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甘肃省战略性稀有金属矿产资源循环利用与高效开发战略研究</w:t>
      </w:r>
    </w:p>
    <w:p w14:paraId="135D2A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i w:val="0"/>
          <w:iCs w:val="0"/>
          <w:caps w:val="0"/>
          <w:color w:val="auto"/>
          <w:spacing w:val="0"/>
          <w:sz w:val="32"/>
          <w:szCs w:val="32"/>
          <w:shd w:val="clear" w:fill="FFFFFF"/>
          <w:lang w:val="en-US" w:eastAsia="zh-CN"/>
        </w:rPr>
      </w:pPr>
      <w:r>
        <w:rPr>
          <w:rFonts w:hint="eastAsia" w:ascii="仿宋_GB2312" w:hAnsi="宋体" w:eastAsia="仿宋_GB2312" w:cs="仿宋_GB2312"/>
          <w:i w:val="0"/>
          <w:iCs w:val="0"/>
          <w:caps w:val="0"/>
          <w:color w:val="auto"/>
          <w:spacing w:val="0"/>
          <w:sz w:val="32"/>
          <w:szCs w:val="32"/>
          <w:shd w:val="clear" w:fill="FFFFFF"/>
          <w:lang w:val="en-US" w:eastAsia="zh-CN"/>
        </w:rPr>
        <w:t>立足甘肃省稀有金属矿产及资源利用现状，围绕甘肃省稀有金属矿产资源循环利用与开发</w:t>
      </w:r>
      <w:r>
        <w:rPr>
          <w:rFonts w:hint="eastAsia" w:ascii="仿宋_GB2312" w:hAnsi="宋体" w:eastAsia="仿宋_GB2312" w:cs="仿宋_GB2312"/>
          <w:i w:val="0"/>
          <w:iCs w:val="0"/>
          <w:caps w:val="0"/>
          <w:color w:val="auto"/>
          <w:spacing w:val="0"/>
          <w:sz w:val="32"/>
          <w:szCs w:val="32"/>
          <w:highlight w:val="none"/>
          <w:shd w:val="clear" w:fill="FFFFFF"/>
          <w:lang w:val="en-US" w:eastAsia="zh-CN"/>
        </w:rPr>
        <w:t>、</w:t>
      </w:r>
      <w:r>
        <w:rPr>
          <w:rFonts w:hint="eastAsia" w:ascii="仿宋_GB2312" w:hAnsi="宋体" w:eastAsia="仿宋_GB2312" w:cs="仿宋_GB2312"/>
          <w:i w:val="0"/>
          <w:iCs w:val="0"/>
          <w:caps w:val="0"/>
          <w:color w:val="auto"/>
          <w:spacing w:val="0"/>
          <w:sz w:val="32"/>
          <w:szCs w:val="32"/>
          <w:shd w:val="clear" w:fill="FFFFFF"/>
          <w:lang w:val="en-US" w:eastAsia="zh-CN"/>
        </w:rPr>
        <w:t>大宗固废关键稀有金属高效开发与回收利用</w:t>
      </w:r>
      <w:r>
        <w:rPr>
          <w:rFonts w:hint="eastAsia" w:ascii="仿宋_GB2312" w:hAnsi="宋体" w:eastAsia="仿宋_GB2312" w:cs="仿宋_GB2312"/>
          <w:i w:val="0"/>
          <w:iCs w:val="0"/>
          <w:caps w:val="0"/>
          <w:color w:val="auto"/>
          <w:spacing w:val="0"/>
          <w:sz w:val="32"/>
          <w:szCs w:val="32"/>
          <w:highlight w:val="none"/>
          <w:shd w:val="clear" w:fill="FFFFFF"/>
          <w:lang w:val="en-US" w:eastAsia="zh-CN"/>
        </w:rPr>
        <w:t>、</w:t>
      </w:r>
      <w:r>
        <w:rPr>
          <w:rFonts w:hint="eastAsia" w:ascii="仿宋_GB2312" w:hAnsi="宋体" w:eastAsia="仿宋_GB2312" w:cs="仿宋_GB2312"/>
          <w:i w:val="0"/>
          <w:iCs w:val="0"/>
          <w:caps w:val="0"/>
          <w:color w:val="auto"/>
          <w:spacing w:val="0"/>
          <w:sz w:val="32"/>
          <w:szCs w:val="32"/>
          <w:shd w:val="clear" w:fill="FFFFFF"/>
          <w:lang w:val="en-US" w:eastAsia="zh-CN"/>
        </w:rPr>
        <w:t>金川镍钴资源高效开发利用</w:t>
      </w:r>
      <w:r>
        <w:rPr>
          <w:rFonts w:hint="eastAsia" w:ascii="仿宋_GB2312" w:hAnsi="宋体" w:eastAsia="仿宋_GB2312" w:cs="仿宋_GB2312"/>
          <w:i w:val="0"/>
          <w:iCs w:val="0"/>
          <w:caps w:val="0"/>
          <w:color w:val="auto"/>
          <w:spacing w:val="0"/>
          <w:sz w:val="32"/>
          <w:szCs w:val="32"/>
          <w:highlight w:val="none"/>
          <w:shd w:val="clear" w:fill="FFFFFF"/>
          <w:lang w:val="en-US" w:eastAsia="zh-CN"/>
        </w:rPr>
        <w:t>、</w:t>
      </w:r>
      <w:r>
        <w:rPr>
          <w:rFonts w:hint="eastAsia" w:ascii="仿宋_GB2312" w:hAnsi="宋体" w:eastAsia="仿宋_GB2312" w:cs="仿宋_GB2312"/>
          <w:i w:val="0"/>
          <w:iCs w:val="0"/>
          <w:caps w:val="0"/>
          <w:color w:val="auto"/>
          <w:spacing w:val="0"/>
          <w:sz w:val="32"/>
          <w:szCs w:val="32"/>
          <w:shd w:val="clear" w:fill="FFFFFF"/>
          <w:lang w:val="en-US" w:eastAsia="zh-CN"/>
        </w:rPr>
        <w:t>资源循环利用相关国有企业引进策略开展研究，着力解决甘肃省战略性金属矿产资源保障能力不足、绿色发展水平不高、开发利用结构不合理的问题。</w:t>
      </w:r>
    </w:p>
    <w:p w14:paraId="16A3BFA2">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甘肃省林业资源价值挖掘和高效开发战略研究</w:t>
      </w:r>
    </w:p>
    <w:p w14:paraId="65B9EC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i w:val="0"/>
          <w:iCs w:val="0"/>
          <w:caps w:val="0"/>
          <w:color w:val="auto"/>
          <w:spacing w:val="0"/>
          <w:sz w:val="32"/>
          <w:szCs w:val="32"/>
          <w:shd w:val="clear" w:fill="FFFFFF"/>
          <w:lang w:val="en-US" w:eastAsia="zh-CN"/>
        </w:rPr>
      </w:pPr>
      <w:r>
        <w:rPr>
          <w:rFonts w:hint="eastAsia" w:ascii="仿宋_GB2312" w:hAnsi="宋体" w:eastAsia="仿宋_GB2312" w:cs="仿宋_GB2312"/>
          <w:i w:val="0"/>
          <w:iCs w:val="0"/>
          <w:caps w:val="0"/>
          <w:color w:val="auto"/>
          <w:spacing w:val="0"/>
          <w:sz w:val="32"/>
          <w:szCs w:val="32"/>
          <w:shd w:val="clear" w:fill="FFFFFF"/>
          <w:lang w:val="en-US" w:eastAsia="zh-CN"/>
        </w:rPr>
        <w:t>服务国家生态安全和粮食安全，立足甘肃省林业资源及林业产业发展现状，围绕甘肃省林下经济资源开发和产业化发展，特色林果产业高质量发展，林业资源保护、价值挖掘和高效开发利用的路径及举措开展研究，着力解决甘肃省林业资源可持续发展不充分、林下经济及林果业产业化水平不高、产业化进程慢等问题。</w:t>
      </w:r>
    </w:p>
    <w:p w14:paraId="45E9C4DE">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甘肃省数据要素产业发展研究</w:t>
      </w:r>
    </w:p>
    <w:p w14:paraId="415537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i w:val="0"/>
          <w:iCs w:val="0"/>
          <w:caps w:val="0"/>
          <w:color w:val="auto"/>
          <w:spacing w:val="0"/>
          <w:sz w:val="32"/>
          <w:szCs w:val="32"/>
          <w:shd w:val="clear" w:fill="FFFFFF"/>
          <w:lang w:val="en-US" w:eastAsia="zh-CN"/>
        </w:rPr>
      </w:pPr>
      <w:r>
        <w:rPr>
          <w:rFonts w:hint="eastAsia" w:ascii="仿宋_GB2312" w:hAnsi="宋体" w:eastAsia="仿宋_GB2312" w:cs="仿宋_GB2312"/>
          <w:i w:val="0"/>
          <w:iCs w:val="0"/>
          <w:caps w:val="0"/>
          <w:color w:val="auto"/>
          <w:spacing w:val="0"/>
          <w:sz w:val="32"/>
          <w:szCs w:val="32"/>
          <w:shd w:val="clear" w:fill="FFFFFF"/>
          <w:lang w:val="en-US" w:eastAsia="zh-CN"/>
        </w:rPr>
        <w:t>立足全国一体化算力网络国家枢纽（甘肃·庆阳）节点建设和甘肃省数据要素产业发展基础与优势，围绕数据资源赋能传统产业发展路径</w:t>
      </w:r>
      <w:r>
        <w:rPr>
          <w:rFonts w:hint="eastAsia" w:ascii="仿宋_GB2312" w:hAnsi="宋体" w:eastAsia="仿宋_GB2312" w:cs="仿宋_GB2312"/>
          <w:i w:val="0"/>
          <w:iCs w:val="0"/>
          <w:caps w:val="0"/>
          <w:color w:val="auto"/>
          <w:spacing w:val="0"/>
          <w:sz w:val="32"/>
          <w:szCs w:val="32"/>
          <w:highlight w:val="none"/>
          <w:shd w:val="clear" w:fill="FFFFFF"/>
          <w:lang w:val="en-US" w:eastAsia="zh-CN"/>
        </w:rPr>
        <w:t>、</w:t>
      </w:r>
      <w:r>
        <w:rPr>
          <w:rFonts w:hint="eastAsia" w:ascii="仿宋_GB2312" w:hAnsi="宋体" w:eastAsia="仿宋_GB2312" w:cs="仿宋_GB2312"/>
          <w:i w:val="0"/>
          <w:iCs w:val="0"/>
          <w:caps w:val="0"/>
          <w:color w:val="auto"/>
          <w:spacing w:val="0"/>
          <w:sz w:val="32"/>
          <w:szCs w:val="32"/>
          <w:shd w:val="clear" w:fill="FFFFFF"/>
          <w:lang w:val="en-US" w:eastAsia="zh-CN"/>
        </w:rPr>
        <w:t>数据资源开发利用与技术创新布局</w:t>
      </w:r>
      <w:r>
        <w:rPr>
          <w:rFonts w:hint="eastAsia" w:ascii="仿宋_GB2312" w:hAnsi="宋体" w:eastAsia="仿宋_GB2312" w:cs="仿宋_GB2312"/>
          <w:i w:val="0"/>
          <w:iCs w:val="0"/>
          <w:caps w:val="0"/>
          <w:color w:val="auto"/>
          <w:spacing w:val="0"/>
          <w:sz w:val="32"/>
          <w:szCs w:val="32"/>
          <w:highlight w:val="none"/>
          <w:shd w:val="clear" w:fill="FFFFFF"/>
          <w:lang w:val="en-US" w:eastAsia="zh-CN"/>
        </w:rPr>
        <w:t>、</w:t>
      </w:r>
      <w:r>
        <w:rPr>
          <w:rFonts w:hint="eastAsia" w:ascii="仿宋_GB2312" w:hAnsi="宋体" w:eastAsia="仿宋_GB2312" w:cs="仿宋_GB2312"/>
          <w:i w:val="0"/>
          <w:iCs w:val="0"/>
          <w:caps w:val="0"/>
          <w:color w:val="auto"/>
          <w:spacing w:val="0"/>
          <w:sz w:val="32"/>
          <w:szCs w:val="32"/>
          <w:shd w:val="clear" w:fill="FFFFFF"/>
          <w:lang w:val="en-US" w:eastAsia="zh-CN"/>
        </w:rPr>
        <w:t>数据产品和服务流通交易体系建设</w:t>
      </w:r>
      <w:r>
        <w:rPr>
          <w:rFonts w:hint="eastAsia" w:ascii="仿宋_GB2312" w:hAnsi="宋体" w:eastAsia="仿宋_GB2312" w:cs="仿宋_GB2312"/>
          <w:i w:val="0"/>
          <w:iCs w:val="0"/>
          <w:caps w:val="0"/>
          <w:color w:val="auto"/>
          <w:spacing w:val="0"/>
          <w:sz w:val="32"/>
          <w:szCs w:val="32"/>
          <w:highlight w:val="none"/>
          <w:shd w:val="clear" w:fill="FFFFFF"/>
          <w:lang w:val="en-US" w:eastAsia="zh-CN"/>
        </w:rPr>
        <w:t>、</w:t>
      </w:r>
      <w:r>
        <w:rPr>
          <w:rFonts w:hint="eastAsia" w:ascii="仿宋_GB2312" w:hAnsi="宋体" w:eastAsia="仿宋_GB2312" w:cs="仿宋_GB2312"/>
          <w:i w:val="0"/>
          <w:iCs w:val="0"/>
          <w:caps w:val="0"/>
          <w:color w:val="auto"/>
          <w:spacing w:val="0"/>
          <w:sz w:val="32"/>
          <w:szCs w:val="32"/>
          <w:shd w:val="clear" w:fill="FFFFFF"/>
          <w:lang w:val="en-US" w:eastAsia="zh-CN"/>
        </w:rPr>
        <w:t>数据基础设施布局开展研究，着力解决甘肃</w:t>
      </w:r>
      <w:r>
        <w:rPr>
          <w:rFonts w:hint="eastAsia" w:ascii="仿宋_GB2312" w:hAnsi="宋体" w:eastAsia="仿宋_GB2312" w:cs="仿宋_GB2312"/>
          <w:i w:val="0"/>
          <w:iCs w:val="0"/>
          <w:caps w:val="0"/>
          <w:color w:val="auto"/>
          <w:spacing w:val="0"/>
          <w:sz w:val="32"/>
          <w:szCs w:val="32"/>
          <w:highlight w:val="none"/>
          <w:shd w:val="clear" w:fill="FFFFFF"/>
          <w:lang w:val="en-US" w:eastAsia="zh-CN"/>
        </w:rPr>
        <w:t>省</w:t>
      </w:r>
      <w:r>
        <w:rPr>
          <w:rFonts w:hint="eastAsia" w:ascii="仿宋_GB2312" w:hAnsi="宋体" w:eastAsia="仿宋_GB2312" w:cs="仿宋_GB2312"/>
          <w:i w:val="0"/>
          <w:iCs w:val="0"/>
          <w:caps w:val="0"/>
          <w:color w:val="auto"/>
          <w:spacing w:val="0"/>
          <w:sz w:val="32"/>
          <w:szCs w:val="32"/>
          <w:shd w:val="clear" w:fill="FFFFFF"/>
          <w:lang w:val="en-US" w:eastAsia="zh-CN"/>
        </w:rPr>
        <w:t>数据备份存储安全、数据资源开</w:t>
      </w:r>
      <w:r>
        <w:rPr>
          <w:rFonts w:hint="eastAsia" w:ascii="仿宋_GB2312" w:hAnsi="宋体" w:eastAsia="仿宋_GB2312" w:cs="仿宋_GB2312"/>
          <w:i w:val="0"/>
          <w:iCs w:val="0"/>
          <w:caps w:val="0"/>
          <w:color w:val="auto"/>
          <w:spacing w:val="-6"/>
          <w:sz w:val="32"/>
          <w:szCs w:val="32"/>
          <w:shd w:val="clear" w:fill="FFFFFF"/>
          <w:lang w:val="en-US" w:eastAsia="zh-CN"/>
        </w:rPr>
        <w:t>发、数据流通规范</w:t>
      </w:r>
      <w:r>
        <w:rPr>
          <w:rFonts w:hint="eastAsia" w:ascii="仿宋_GB2312" w:hAnsi="宋体" w:eastAsia="仿宋_GB2312" w:cs="仿宋_GB2312"/>
          <w:i w:val="0"/>
          <w:iCs w:val="0"/>
          <w:caps w:val="0"/>
          <w:color w:val="auto"/>
          <w:spacing w:val="-6"/>
          <w:sz w:val="32"/>
          <w:szCs w:val="32"/>
          <w:highlight w:val="none"/>
          <w:shd w:val="clear" w:fill="FFFFFF"/>
          <w:lang w:val="en-US" w:eastAsia="zh-CN"/>
        </w:rPr>
        <w:t>，</w:t>
      </w:r>
      <w:r>
        <w:rPr>
          <w:rFonts w:hint="eastAsia" w:ascii="仿宋_GB2312" w:hAnsi="宋体" w:eastAsia="仿宋_GB2312" w:cs="仿宋_GB2312"/>
          <w:i w:val="0"/>
          <w:iCs w:val="0"/>
          <w:caps w:val="0"/>
          <w:color w:val="auto"/>
          <w:spacing w:val="-6"/>
          <w:sz w:val="32"/>
          <w:szCs w:val="32"/>
          <w:shd w:val="clear" w:fill="FFFFFF"/>
          <w:lang w:val="en-US" w:eastAsia="zh-CN"/>
        </w:rPr>
        <w:t>数据要素市场健康发展等方面存在的问题。</w:t>
      </w:r>
    </w:p>
    <w:p w14:paraId="0FAA7D5D">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电碳协同推动区域经济高质量发展战略研究</w:t>
      </w:r>
    </w:p>
    <w:p w14:paraId="6C9600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i w:val="0"/>
          <w:iCs w:val="0"/>
          <w:caps w:val="0"/>
          <w:color w:val="auto"/>
          <w:spacing w:val="0"/>
          <w:sz w:val="32"/>
          <w:szCs w:val="32"/>
          <w:shd w:val="clear" w:fill="FFFFFF"/>
          <w:lang w:val="en-US" w:eastAsia="zh-CN"/>
        </w:rPr>
      </w:pPr>
      <w:r>
        <w:rPr>
          <w:rFonts w:hint="eastAsia" w:ascii="仿宋_GB2312" w:hAnsi="宋体" w:eastAsia="仿宋_GB2312" w:cs="仿宋_GB2312"/>
          <w:i w:val="0"/>
          <w:iCs w:val="0"/>
          <w:caps w:val="0"/>
          <w:color w:val="auto"/>
          <w:spacing w:val="0"/>
          <w:sz w:val="32"/>
          <w:szCs w:val="32"/>
          <w:shd w:val="clear" w:fill="FFFFFF"/>
          <w:lang w:val="en-US" w:eastAsia="zh-CN"/>
        </w:rPr>
        <w:t>服务国家“双碳”战略，立足甘肃省在电碳协同推动区域经济高质量发展方面面临的机遇和挑战，围绕低碳高载能企业引进模式和发展路径</w:t>
      </w:r>
      <w:r>
        <w:rPr>
          <w:rFonts w:hint="eastAsia" w:ascii="仿宋_GB2312" w:hAnsi="宋体" w:eastAsia="仿宋_GB2312" w:cs="仿宋_GB2312"/>
          <w:i w:val="0"/>
          <w:iCs w:val="0"/>
          <w:caps w:val="0"/>
          <w:color w:val="auto"/>
          <w:spacing w:val="0"/>
          <w:sz w:val="32"/>
          <w:szCs w:val="32"/>
          <w:highlight w:val="none"/>
          <w:shd w:val="clear" w:fill="FFFFFF"/>
          <w:lang w:val="en-US" w:eastAsia="zh-CN"/>
        </w:rPr>
        <w:t>、电碳协同模式下的绿电交易机制、电碳协同模式衍生的产业机遇、电</w:t>
      </w:r>
      <w:r>
        <w:rPr>
          <w:rFonts w:hint="eastAsia" w:ascii="仿宋_GB2312" w:hAnsi="宋体" w:eastAsia="仿宋_GB2312" w:cs="仿宋_GB2312"/>
          <w:i w:val="0"/>
          <w:iCs w:val="0"/>
          <w:caps w:val="0"/>
          <w:color w:val="auto"/>
          <w:spacing w:val="0"/>
          <w:sz w:val="32"/>
          <w:szCs w:val="32"/>
          <w:shd w:val="clear" w:fill="FFFFFF"/>
          <w:lang w:val="en-US" w:eastAsia="zh-CN"/>
        </w:rPr>
        <w:t>碳协同发展的模式和评价模型及其对区域经济高质量发展的驱动机制和实现路径开展研究，着力解决甘肃</w:t>
      </w:r>
      <w:r>
        <w:rPr>
          <w:rFonts w:hint="eastAsia" w:ascii="仿宋_GB2312" w:hAnsi="宋体" w:eastAsia="仿宋_GB2312" w:cs="仿宋_GB2312"/>
          <w:i w:val="0"/>
          <w:iCs w:val="0"/>
          <w:caps w:val="0"/>
          <w:color w:val="auto"/>
          <w:spacing w:val="0"/>
          <w:sz w:val="32"/>
          <w:szCs w:val="32"/>
          <w:highlight w:val="none"/>
          <w:shd w:val="clear" w:fill="FFFFFF"/>
          <w:lang w:val="en-US" w:eastAsia="zh-CN"/>
        </w:rPr>
        <w:t>省</w:t>
      </w:r>
      <w:r>
        <w:rPr>
          <w:rFonts w:hint="eastAsia" w:ascii="仿宋_GB2312" w:hAnsi="宋体" w:eastAsia="仿宋_GB2312" w:cs="仿宋_GB2312"/>
          <w:i w:val="0"/>
          <w:iCs w:val="0"/>
          <w:caps w:val="0"/>
          <w:color w:val="auto"/>
          <w:spacing w:val="0"/>
          <w:sz w:val="32"/>
          <w:szCs w:val="32"/>
          <w:shd w:val="clear" w:fill="FFFFFF"/>
          <w:lang w:val="en-US" w:eastAsia="zh-CN"/>
        </w:rPr>
        <w:t>新能源消纳及产业转型升级等方面存在的问题。</w:t>
      </w:r>
    </w:p>
    <w:p w14:paraId="0D845A76">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甘肃省同位素技术产业发展战略研究</w:t>
      </w:r>
    </w:p>
    <w:p w14:paraId="424952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i w:val="0"/>
          <w:iCs w:val="0"/>
          <w:caps w:val="0"/>
          <w:color w:val="auto"/>
          <w:spacing w:val="0"/>
          <w:sz w:val="32"/>
          <w:szCs w:val="32"/>
          <w:shd w:val="clear" w:fill="FFFFFF"/>
          <w:lang w:val="en-US" w:eastAsia="zh-CN"/>
        </w:rPr>
      </w:pPr>
      <w:r>
        <w:rPr>
          <w:rFonts w:hint="eastAsia" w:ascii="仿宋_GB2312" w:hAnsi="宋体" w:eastAsia="仿宋_GB2312" w:cs="仿宋_GB2312"/>
          <w:i w:val="0"/>
          <w:iCs w:val="0"/>
          <w:caps w:val="0"/>
          <w:color w:val="auto"/>
          <w:spacing w:val="0"/>
          <w:sz w:val="32"/>
          <w:szCs w:val="32"/>
          <w:shd w:val="clear" w:fill="FFFFFF"/>
          <w:lang w:val="en-US" w:eastAsia="zh-CN"/>
        </w:rPr>
        <w:t>服务国家核能“三步走”战略，立足甘肃省核产业基础和优势，围绕同位素产业发展环境分析、甘肃省同位素生产基地建设、核医学基地战略布局、同位素新药创制关键技术体系构建、同位素科教融合发展战略等开展研究，着力解决放射性同位素自主供应能力不强、稳定同位素生产能力不足、国产同位素应用进程缓慢等问题。</w:t>
      </w:r>
    </w:p>
    <w:p w14:paraId="32462544">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甘肃省芯片产业发展战略研究</w:t>
      </w:r>
    </w:p>
    <w:p w14:paraId="4B2EBD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i w:val="0"/>
          <w:iCs w:val="0"/>
          <w:caps w:val="0"/>
          <w:color w:val="auto"/>
          <w:spacing w:val="0"/>
          <w:sz w:val="32"/>
          <w:szCs w:val="32"/>
          <w:shd w:val="clear" w:fill="FFFFFF"/>
          <w:lang w:val="en-US" w:eastAsia="zh-CN"/>
        </w:rPr>
      </w:pPr>
      <w:r>
        <w:rPr>
          <w:rFonts w:hint="eastAsia" w:ascii="仿宋_GB2312" w:hAnsi="宋体" w:eastAsia="仿宋_GB2312" w:cs="仿宋_GB2312"/>
          <w:i w:val="0"/>
          <w:iCs w:val="0"/>
          <w:caps w:val="0"/>
          <w:color w:val="auto"/>
          <w:spacing w:val="0"/>
          <w:sz w:val="32"/>
          <w:szCs w:val="32"/>
          <w:shd w:val="clear" w:fill="FFFFFF"/>
          <w:lang w:val="en-US" w:eastAsia="zh-CN"/>
        </w:rPr>
        <w:t>服务国家制造强国战略，立足甘肃省芯片产业发展优势，围绕高端芯片制造及设备国产化、芯片供应链优化及备份机制建设、国家芯片备份基地建设、甘肃省芯片产业链优化机制、芯片人才培养及引进开展研究，着力解决高端芯片高度依赖进口、芯片制造设备自主供应能力不足、甘肃省芯片产业链不健全等问题。</w:t>
      </w:r>
    </w:p>
    <w:p w14:paraId="157AA470">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甘肃省交通运输和文化旅游、现代物流融合发展战略研究</w:t>
      </w:r>
    </w:p>
    <w:p w14:paraId="08D5C5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宋体" w:eastAsia="仿宋_GB2312" w:cs="仿宋_GB2312"/>
          <w:i w:val="0"/>
          <w:iCs w:val="0"/>
          <w:caps w:val="0"/>
          <w:color w:val="auto"/>
          <w:spacing w:val="0"/>
          <w:sz w:val="32"/>
          <w:szCs w:val="32"/>
          <w:shd w:val="clear" w:fill="FFFFFF"/>
          <w:lang w:val="en-US" w:eastAsia="zh-CN"/>
        </w:rPr>
      </w:pPr>
      <w:r>
        <w:rPr>
          <w:rFonts w:hint="eastAsia" w:ascii="仿宋_GB2312" w:hAnsi="宋体" w:eastAsia="仿宋_GB2312" w:cs="仿宋_GB2312"/>
          <w:i w:val="0"/>
          <w:iCs w:val="0"/>
          <w:caps w:val="0"/>
          <w:color w:val="auto"/>
          <w:spacing w:val="0"/>
          <w:sz w:val="32"/>
          <w:szCs w:val="32"/>
          <w:shd w:val="clear" w:fill="FFFFFF"/>
          <w:lang w:val="en-US" w:eastAsia="zh-CN"/>
        </w:rPr>
        <w:t>立足甘肃省文化旅游资源优势，围绕交通运输与文化旅游、现代物流衔接机制及融合发展路径，交通运输网络优化及节点设施服务功能提升，物流网络构建及交通资源高效利用，旅游区位开发及资源整合，路衍经济发展战略开展研究，着力解决甘肃省旅游和物流发展与交通资源统筹规划不足、耦合度不高、资源利用效率较低的问题。</w:t>
      </w:r>
    </w:p>
    <w:p w14:paraId="7B17779F">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“双碳”目标下甘肃省高载能产业高效绿色发展策略研究</w:t>
      </w:r>
    </w:p>
    <w:p w14:paraId="141AA6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i w:val="0"/>
          <w:iCs w:val="0"/>
          <w:caps w:val="0"/>
          <w:color w:val="auto"/>
          <w:spacing w:val="0"/>
          <w:sz w:val="32"/>
          <w:szCs w:val="32"/>
          <w:shd w:val="clear" w:fill="FFFFFF"/>
          <w:lang w:val="en-US" w:eastAsia="zh-CN"/>
        </w:rPr>
      </w:pPr>
      <w:r>
        <w:rPr>
          <w:rFonts w:hint="eastAsia" w:ascii="仿宋_GB2312" w:hAnsi="宋体" w:eastAsia="仿宋_GB2312" w:cs="仿宋_GB2312"/>
          <w:i w:val="0"/>
          <w:iCs w:val="0"/>
          <w:caps w:val="0"/>
          <w:color w:val="auto"/>
          <w:spacing w:val="0"/>
          <w:sz w:val="32"/>
          <w:szCs w:val="32"/>
          <w:shd w:val="clear" w:fill="FFFFFF"/>
          <w:lang w:val="en-US" w:eastAsia="zh-CN"/>
        </w:rPr>
        <w:t>服务国家“双碳”战略，立足甘肃省新能源消纳及产业发展实际需求，围绕生态环境承载力与高载能企业落地发展关系、甘肃省承接发展高载能产业发展路径及相关措施、甘肃省已有高载能产业绿色化发展策略、甘肃省高载能配套产业高效协同发展开展研究，着力解决</w:t>
      </w:r>
      <w:bookmarkStart w:id="0" w:name="_GoBack"/>
      <w:bookmarkEnd w:id="0"/>
      <w:r>
        <w:rPr>
          <w:rFonts w:hint="eastAsia" w:ascii="仿宋_GB2312" w:hAnsi="宋体" w:eastAsia="仿宋_GB2312" w:cs="仿宋_GB2312"/>
          <w:i w:val="0"/>
          <w:iCs w:val="0"/>
          <w:caps w:val="0"/>
          <w:color w:val="auto"/>
          <w:spacing w:val="0"/>
          <w:sz w:val="32"/>
          <w:szCs w:val="32"/>
          <w:shd w:val="clear" w:fill="FFFFFF"/>
          <w:lang w:val="en-US" w:eastAsia="zh-CN"/>
        </w:rPr>
        <w:t>甘肃省新能源消纳瓶颈与高载能产业绿色化发展等方面存在的问题。</w:t>
      </w:r>
    </w:p>
    <w:p w14:paraId="24F61EA3">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甘肃省新型储能产业协同发展路径研究</w:t>
      </w:r>
    </w:p>
    <w:p w14:paraId="393E28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i w:val="0"/>
          <w:iCs w:val="0"/>
          <w:caps w:val="0"/>
          <w:color w:val="auto"/>
          <w:spacing w:val="0"/>
          <w:sz w:val="32"/>
          <w:szCs w:val="32"/>
          <w:shd w:val="clear" w:fill="FFFFFF"/>
          <w:lang w:val="en-US" w:eastAsia="zh-CN"/>
        </w:rPr>
      </w:pPr>
      <w:r>
        <w:rPr>
          <w:rFonts w:hint="eastAsia" w:ascii="仿宋_GB2312" w:hAnsi="宋体" w:eastAsia="仿宋_GB2312" w:cs="仿宋_GB2312"/>
          <w:i w:val="0"/>
          <w:iCs w:val="0"/>
          <w:caps w:val="0"/>
          <w:color w:val="auto"/>
          <w:spacing w:val="0"/>
          <w:sz w:val="32"/>
          <w:szCs w:val="32"/>
          <w:shd w:val="clear" w:fill="FFFFFF"/>
          <w:lang w:val="en-US" w:eastAsia="zh-CN"/>
        </w:rPr>
        <w:t>立足甘肃省新能源发展现状和储能产业发展需求，围绕双碳目标下甘肃省新型储能产业未来发展方向、技术路线、产业规模、市场机制，新型储能与消纳协同发展，新型储能材料生产与装备制造产业协同发展，基于绿电优势引进高端产业落地的路径与策略开展研究，着力解决甘肃省新能源发电供需不同步、新能源对电网平稳运行冲击较大的问题。</w:t>
      </w:r>
    </w:p>
    <w:p w14:paraId="0512BF73"/>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0AD2B">
    <w:pPr>
      <w:pStyle w:val="2"/>
      <w:ind w:firstLine="0"/>
      <w:jc w:val="both"/>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13E6F">
                          <w:pPr>
                            <w:pStyle w:val="2"/>
                          </w:pPr>
                          <w:r>
                            <w:t>—</w:t>
                          </w:r>
                          <w:r>
                            <w:rPr>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4113E6F">
                    <w:pPr>
                      <w:pStyle w:val="2"/>
                    </w:pPr>
                    <w:r>
                      <w:t>—</w:t>
                    </w:r>
                    <w:r>
                      <w:rPr>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06A46"/>
    <w:multiLevelType w:val="singleLevel"/>
    <w:tmpl w:val="08906A4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A22DDF"/>
    <w:rsid w:val="1C2B35C6"/>
    <w:rsid w:val="26A22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2024-11-27T02:33:00Z</dcterms:created>
  <dc:creator>十三</dc:creator>
  <cp:lastModifiedBy>十三</cp:lastModifiedBy>
  <dcterms:modified xsi:type="dcterms:W3CDTF">2024-11-27T02:34:39Z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F9EB3122C5774EDFB666DB6607CE47F4_13</vt:lpwstr>
  </property>
</Properties>
</file>